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B" w:rsidRPr="003A3AB5" w:rsidRDefault="007F7CCB" w:rsidP="007F7CCB">
      <w:pPr>
        <w:pStyle w:val="Nzev"/>
        <w:spacing w:line="360" w:lineRule="auto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Témata</w:t>
      </w:r>
      <w:r w:rsidRPr="003A3AB5">
        <w:rPr>
          <w:sz w:val="36"/>
          <w:szCs w:val="36"/>
          <w:lang w:val="cs-CZ"/>
        </w:rPr>
        <w:t xml:space="preserve"> pro maturitní práci v rámci profilové části MZ</w:t>
      </w:r>
    </w:p>
    <w:p w:rsidR="007F7CCB" w:rsidRPr="003A3AB5" w:rsidRDefault="007F7CCB" w:rsidP="007F7CCB">
      <w:pPr>
        <w:pStyle w:val="Nzev"/>
        <w:spacing w:line="360" w:lineRule="auto"/>
        <w:rPr>
          <w:sz w:val="36"/>
          <w:szCs w:val="36"/>
          <w:lang w:val="cs-CZ"/>
        </w:rPr>
      </w:pPr>
      <w:r w:rsidRPr="003A3AB5">
        <w:rPr>
          <w:sz w:val="36"/>
          <w:szCs w:val="36"/>
          <w:lang w:val="cs-CZ"/>
        </w:rPr>
        <w:t xml:space="preserve">Německý jazyk </w:t>
      </w:r>
    </w:p>
    <w:p w:rsidR="004400A1" w:rsidRDefault="004400A1" w:rsidP="004400A1">
      <w:pPr>
        <w:jc w:val="center"/>
        <w:rPr>
          <w:sz w:val="36"/>
          <w:szCs w:val="36"/>
        </w:rPr>
      </w:pPr>
    </w:p>
    <w:p w:rsidR="009C601E" w:rsidRPr="00090FD3" w:rsidRDefault="009C601E" w:rsidP="004400A1">
      <w:pPr>
        <w:jc w:val="center"/>
        <w:rPr>
          <w:sz w:val="40"/>
          <w:szCs w:val="36"/>
        </w:rPr>
      </w:pPr>
    </w:p>
    <w:p w:rsidR="00090FD3" w:rsidRPr="00090FD3" w:rsidRDefault="00090FD3" w:rsidP="00090FD3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Südmähren und seine typischen Produkte</w:t>
      </w:r>
    </w:p>
    <w:p w:rsidR="00BD34B5" w:rsidRPr="00090FD3" w:rsidRDefault="00BD34B5" w:rsidP="00BD34B5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Chemische Industrie in Südmähren</w:t>
      </w:r>
    </w:p>
    <w:p w:rsidR="00BD34B5" w:rsidRPr="00090FD3" w:rsidRDefault="00BD34B5" w:rsidP="00BD34B5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Wasserkläranlagen in unserer Region</w:t>
      </w:r>
    </w:p>
    <w:p w:rsidR="00090FD3" w:rsidRPr="00090FD3" w:rsidRDefault="00090FD3" w:rsidP="00090FD3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Beurteilung der Verunreinigung von Abwässern aufgrund der chemischen Untersuchung.</w:t>
      </w:r>
    </w:p>
    <w:p w:rsidR="00BD34B5" w:rsidRPr="00090FD3" w:rsidRDefault="00BD34B5" w:rsidP="00BD34B5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Trinkwasser und seine Analyse</w:t>
      </w:r>
    </w:p>
    <w:p w:rsidR="00BD34B5" w:rsidRPr="00090FD3" w:rsidRDefault="00BD34B5" w:rsidP="00BD34B5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 xml:space="preserve">Wasserreinigung im Gebiet des Brünner Stausees </w:t>
      </w:r>
    </w:p>
    <w:p w:rsidR="00BD34B5" w:rsidRDefault="00BD34B5" w:rsidP="00BD34B5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Analyse der mährischen Weine</w:t>
      </w:r>
    </w:p>
    <w:p w:rsidR="00BD34B5" w:rsidRPr="00090FD3" w:rsidRDefault="00BD34B5" w:rsidP="00BD34B5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Geschmackswahrnehmung von Lipiden, DNA und Polymorphismen</w:t>
      </w:r>
    </w:p>
    <w:p w:rsidR="00BD34B5" w:rsidRPr="00090FD3" w:rsidRDefault="00BD34B5" w:rsidP="00BD34B5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Der Mährische Karst und seine Umwelt/Probleme</w:t>
      </w:r>
    </w:p>
    <w:p w:rsidR="00090FD3" w:rsidRPr="00090FD3" w:rsidRDefault="00090FD3" w:rsidP="00090FD3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Umweltschutz in unserer Region</w:t>
      </w:r>
    </w:p>
    <w:p w:rsidR="00BD34B5" w:rsidRPr="00090FD3" w:rsidRDefault="00BD34B5" w:rsidP="00BD34B5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Naturschutzgebiete in der Tschechischen Republik</w:t>
      </w:r>
    </w:p>
    <w:p w:rsidR="00090FD3" w:rsidRPr="00090FD3" w:rsidRDefault="00090FD3" w:rsidP="00090FD3">
      <w:pPr>
        <w:numPr>
          <w:ilvl w:val="0"/>
          <w:numId w:val="2"/>
        </w:numPr>
        <w:spacing w:line="360" w:lineRule="auto"/>
        <w:rPr>
          <w:sz w:val="28"/>
          <w:lang w:val="de-DE"/>
        </w:rPr>
      </w:pPr>
      <w:r w:rsidRPr="00090FD3">
        <w:rPr>
          <w:sz w:val="28"/>
          <w:lang w:val="de-DE"/>
        </w:rPr>
        <w:t>Tschechische Atomkraftwerke und ihre Zukunft</w:t>
      </w:r>
    </w:p>
    <w:p w:rsidR="007F7CCB" w:rsidRDefault="007F7CCB" w:rsidP="007F7CCB">
      <w:pPr>
        <w:spacing w:line="360" w:lineRule="auto"/>
        <w:rPr>
          <w:sz w:val="28"/>
          <w:szCs w:val="28"/>
          <w:lang w:val="de-DE"/>
        </w:rPr>
      </w:pPr>
    </w:p>
    <w:p w:rsidR="007F7CCB" w:rsidRPr="00EE0128" w:rsidRDefault="007F7CCB" w:rsidP="007F7CCB">
      <w:pPr>
        <w:spacing w:line="360" w:lineRule="auto"/>
        <w:rPr>
          <w:sz w:val="28"/>
          <w:szCs w:val="28"/>
          <w:lang w:val="de-DE"/>
        </w:rPr>
      </w:pPr>
    </w:p>
    <w:p w:rsidR="00BD34B5" w:rsidRDefault="00BD34B5" w:rsidP="007F7CCB">
      <w:pPr>
        <w:spacing w:line="360" w:lineRule="auto"/>
        <w:ind w:firstLine="360"/>
        <w:jc w:val="both"/>
        <w:rPr>
          <w:sz w:val="28"/>
          <w:szCs w:val="28"/>
        </w:rPr>
      </w:pPr>
    </w:p>
    <w:p w:rsidR="00BD34B5" w:rsidRDefault="00BD34B5" w:rsidP="007F7CCB">
      <w:pPr>
        <w:spacing w:line="360" w:lineRule="auto"/>
        <w:ind w:firstLine="360"/>
        <w:jc w:val="both"/>
        <w:rPr>
          <w:sz w:val="28"/>
          <w:szCs w:val="28"/>
        </w:rPr>
      </w:pPr>
    </w:p>
    <w:p w:rsidR="00BD34B5" w:rsidRDefault="00BD34B5" w:rsidP="007F7CCB">
      <w:pPr>
        <w:spacing w:line="360" w:lineRule="auto"/>
        <w:ind w:firstLine="360"/>
        <w:jc w:val="both"/>
        <w:rPr>
          <w:sz w:val="28"/>
          <w:szCs w:val="28"/>
        </w:rPr>
      </w:pPr>
    </w:p>
    <w:p w:rsidR="00BD34B5" w:rsidRDefault="00BD34B5" w:rsidP="007F7CCB">
      <w:pPr>
        <w:spacing w:line="360" w:lineRule="auto"/>
        <w:ind w:firstLine="360"/>
        <w:jc w:val="both"/>
        <w:rPr>
          <w:sz w:val="28"/>
          <w:szCs w:val="28"/>
        </w:rPr>
      </w:pPr>
    </w:p>
    <w:p w:rsidR="00BD34B5" w:rsidRDefault="00BD34B5" w:rsidP="007F7CCB">
      <w:pPr>
        <w:spacing w:line="360" w:lineRule="auto"/>
        <w:ind w:firstLine="360"/>
        <w:jc w:val="both"/>
        <w:rPr>
          <w:sz w:val="28"/>
          <w:szCs w:val="28"/>
        </w:rPr>
      </w:pPr>
    </w:p>
    <w:p w:rsidR="007F7CCB" w:rsidRPr="004400A1" w:rsidRDefault="00B60E2C" w:rsidP="007F7CC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Odsouhlaseno předmětovou komisí NEJ. Platí pro školní rok 201</w:t>
      </w:r>
      <w:r w:rsidR="00BD34B5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BD34B5">
        <w:rPr>
          <w:sz w:val="28"/>
          <w:szCs w:val="28"/>
        </w:rPr>
        <w:t>8</w:t>
      </w:r>
      <w:r w:rsidR="007F7CCB">
        <w:rPr>
          <w:sz w:val="28"/>
          <w:szCs w:val="28"/>
        </w:rPr>
        <w:t>.</w:t>
      </w:r>
    </w:p>
    <w:p w:rsidR="00BD34B5" w:rsidRDefault="00BD34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4B5" w:rsidRDefault="007443A3" w:rsidP="00BD34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Zásady pro vypracování </w:t>
      </w:r>
      <w:r w:rsidR="009E0BA6">
        <w:rPr>
          <w:b/>
          <w:bCs/>
          <w:sz w:val="28"/>
          <w:szCs w:val="28"/>
          <w:u w:val="single"/>
        </w:rPr>
        <w:t>písemné části profilové MZ v NEJ</w:t>
      </w:r>
    </w:p>
    <w:p w:rsidR="007443A3" w:rsidRPr="009E0BA6" w:rsidRDefault="007443A3" w:rsidP="007443A3">
      <w:pPr>
        <w:pStyle w:val="paragraph"/>
        <w:jc w:val="both"/>
        <w:textAlignment w:val="baseline"/>
      </w:pPr>
      <w:r w:rsidRPr="009E0BA6">
        <w:rPr>
          <w:rStyle w:val="normaltextrun"/>
          <w:b/>
          <w:bCs/>
        </w:rPr>
        <w:t>Formální stránka práce</w:t>
      </w:r>
      <w:r w:rsidRPr="009E0BA6">
        <w:rPr>
          <w:rStyle w:val="normaltextrun"/>
        </w:rPr>
        <w:t xml:space="preserve"> musí splňovat následující náležitosti, které vyplývají z běžného zvyku psaní, formátování a jazykové úpravy odborných prací: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4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bílé nelinkované listy formátu A4 (210×297 mm)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4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jednostranný tisk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5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okraje nahoře a dole 2,5 cm, vpravo 1,5 cm a vlevo 3,5 cm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5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zarovnání souvislého textu do bloku, první řádek se neodsazuje, mezi odstavci je mezera 12 b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5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patkové písmo pro psaní těla textu (</w:t>
      </w:r>
      <w:proofErr w:type="spellStart"/>
      <w:r w:rsidRPr="009E0BA6">
        <w:rPr>
          <w:rStyle w:val="spellingerror"/>
        </w:rPr>
        <w:t>Times</w:t>
      </w:r>
      <w:proofErr w:type="spellEnd"/>
      <w:r w:rsidRPr="009E0BA6">
        <w:rPr>
          <w:rStyle w:val="normaltextrun"/>
        </w:rPr>
        <w:t xml:space="preserve"> New Roman), bezpatkové písmo pro nadpisy a názvy kapitol (</w:t>
      </w:r>
      <w:proofErr w:type="spellStart"/>
      <w:r w:rsidRPr="009E0BA6">
        <w:rPr>
          <w:rStyle w:val="spellingerror"/>
        </w:rPr>
        <w:t>Arial</w:t>
      </w:r>
      <w:proofErr w:type="spellEnd"/>
      <w:r w:rsidRPr="009E0BA6">
        <w:rPr>
          <w:rStyle w:val="normaltextrun"/>
        </w:rPr>
        <w:t>)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5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text pouze černě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5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řádkování 1,</w:t>
      </w:r>
      <w:r w:rsidR="00745B56" w:rsidRPr="009E0BA6">
        <w:rPr>
          <w:rStyle w:val="normaltextrun"/>
        </w:rPr>
        <w:t xml:space="preserve"> </w:t>
      </w:r>
      <w:r w:rsidRPr="009E0BA6">
        <w:rPr>
          <w:rStyle w:val="normaltextrun"/>
        </w:rPr>
        <w:t>5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6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v textu velikost písma 12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6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v nadpisech velikost písma následovně: úroveň 1 – velikost 18, tučné kapitálky, mezera za textem 18 b, úroveň 2 – velikost 16, tučné, mezera za textem 16 b, úroveň 3 – velikost 14, tučné, mezera za textem 14b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6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text musí být členěn na odstavce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6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důležité pojmy v textu lze zvýraznit (tučně, ne barevně)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6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neužívá se podtrhávání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7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kurzíva se používá pouze pro doslovnou citaci textu, který pak musí být uveden v uvozovkách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7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tabulky, grafy a obrázky se číslují průběžně v celém dokumentu, u čísla musí být uveden název (popis)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7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tabulky se číslují a popisují nad tabulkami, grafy a obrázky pod těmito objekty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7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stránky se číslují arabskými číslicemi v zápatí stránky (zpravidla dole uprostřed)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8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 xml:space="preserve">první tištěné číslo strany se nachází na stránce, na níž začíná kapitola č. 1, tj. Úvod. Strany před touto kapitolou se nečíslují, ale počítají se do celkového rozsahu práce. </w:t>
      </w:r>
      <w:proofErr w:type="gramStart"/>
      <w:r w:rsidRPr="009E0BA6">
        <w:rPr>
          <w:rStyle w:val="normaltextrun"/>
        </w:rPr>
        <w:t>Tzn.</w:t>
      </w:r>
      <w:proofErr w:type="gramEnd"/>
      <w:r w:rsidRPr="009E0BA6">
        <w:rPr>
          <w:rStyle w:val="normaltextrun"/>
        </w:rPr>
        <w:t xml:space="preserve"> před kapitolou 1 </w:t>
      </w:r>
      <w:proofErr w:type="gramStart"/>
      <w:r w:rsidRPr="009E0BA6">
        <w:rPr>
          <w:rStyle w:val="normaltextrun"/>
        </w:rPr>
        <w:t>bude</w:t>
      </w:r>
      <w:proofErr w:type="gramEnd"/>
      <w:r w:rsidRPr="009E0BA6">
        <w:rPr>
          <w:rStyle w:val="normaltextrun"/>
        </w:rPr>
        <w:t xml:space="preserve"> např. 7 stran (úvodní strana, anotace, poděkování, obsah)  - tyto se nečíslují, první číslo strany bude 8. 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8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v textu musí být uvedeny zdroje, které byly pro zpracování práce použity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8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rovnice se vkládají pomocí příslušného editoru rovnic (nikoliv jako obrázky)</w:t>
      </w:r>
      <w:r w:rsidRPr="009E0BA6">
        <w:rPr>
          <w:rStyle w:val="eop"/>
        </w:rPr>
        <w:t> </w:t>
      </w:r>
    </w:p>
    <w:p w:rsidR="007443A3" w:rsidRPr="009E0BA6" w:rsidRDefault="007443A3" w:rsidP="007443A3">
      <w:pPr>
        <w:pStyle w:val="paragraph"/>
        <w:numPr>
          <w:ilvl w:val="0"/>
          <w:numId w:val="8"/>
        </w:numPr>
        <w:ind w:left="1080" w:firstLine="0"/>
        <w:jc w:val="both"/>
        <w:textAlignment w:val="baseline"/>
      </w:pPr>
      <w:r w:rsidRPr="009E0BA6">
        <w:rPr>
          <w:rStyle w:val="normaltextrun"/>
        </w:rPr>
        <w:t>rozsáhlejší popis běžných zvyklostí pro psaní odborných textů obsahují četné odborné články [1,2].</w:t>
      </w:r>
      <w:r w:rsidRPr="009E0BA6">
        <w:rPr>
          <w:rStyle w:val="eop"/>
        </w:rPr>
        <w:t> </w:t>
      </w:r>
    </w:p>
    <w:p w:rsidR="0048639A" w:rsidRPr="009E0BA6" w:rsidRDefault="007443A3" w:rsidP="007443A3">
      <w:pPr>
        <w:pStyle w:val="paragraph"/>
        <w:jc w:val="both"/>
        <w:textAlignment w:val="baseline"/>
        <w:rPr>
          <w:rStyle w:val="normaltextrun"/>
        </w:rPr>
      </w:pPr>
      <w:r w:rsidRPr="009E0BA6">
        <w:rPr>
          <w:rStyle w:val="eop"/>
        </w:rPr>
        <w:t> </w:t>
      </w:r>
      <w:r w:rsidRPr="009E0BA6">
        <w:rPr>
          <w:rStyle w:val="normaltextrun"/>
          <w:b/>
          <w:bCs/>
        </w:rPr>
        <w:t>Struktura práce</w:t>
      </w:r>
      <w:r w:rsidRPr="009E0BA6">
        <w:rPr>
          <w:rStyle w:val="normaltextrun"/>
        </w:rPr>
        <w:t xml:space="preserve"> </w:t>
      </w:r>
      <w:r w:rsidR="0048639A" w:rsidRPr="009E0BA6">
        <w:rPr>
          <w:rStyle w:val="normaltextrun"/>
        </w:rPr>
        <w:t xml:space="preserve">a </w:t>
      </w:r>
      <w:r w:rsidR="0048639A" w:rsidRPr="009E0BA6">
        <w:rPr>
          <w:rStyle w:val="normaltextrun"/>
          <w:b/>
        </w:rPr>
        <w:t>práce se zdroji</w:t>
      </w:r>
      <w:r w:rsidR="0048639A" w:rsidRPr="009E0BA6">
        <w:rPr>
          <w:rStyle w:val="normaltextrun"/>
        </w:rPr>
        <w:t xml:space="preserve"> </w:t>
      </w:r>
      <w:r w:rsidRPr="009E0BA6">
        <w:rPr>
          <w:rStyle w:val="normaltextrun"/>
        </w:rPr>
        <w:t>se řídí zásadami</w:t>
      </w:r>
      <w:r w:rsidR="0048639A" w:rsidRPr="009E0BA6">
        <w:rPr>
          <w:rStyle w:val="normaltextrun"/>
        </w:rPr>
        <w:t xml:space="preserve"> pro „Dlouhodobou maturitní práci“.</w:t>
      </w:r>
    </w:p>
    <w:p w:rsidR="009E0BA6" w:rsidRPr="009E0BA6" w:rsidRDefault="0048639A" w:rsidP="009E0BA6">
      <w:pPr>
        <w:pStyle w:val="paragraph"/>
        <w:jc w:val="both"/>
        <w:textAlignment w:val="baseline"/>
      </w:pPr>
      <w:r w:rsidRPr="009E0BA6">
        <w:rPr>
          <w:rStyle w:val="normaltextrun"/>
        </w:rPr>
        <w:t xml:space="preserve">Práce musí být napsána </w:t>
      </w:r>
      <w:r w:rsidR="00BF30E2" w:rsidRPr="009E0BA6">
        <w:rPr>
          <w:rStyle w:val="normaltextrun"/>
          <w:b/>
        </w:rPr>
        <w:t>v německém jazyce</w:t>
      </w:r>
      <w:r w:rsidR="00BF30E2" w:rsidRPr="009E0BA6">
        <w:rPr>
          <w:rStyle w:val="normaltextrun"/>
        </w:rPr>
        <w:t xml:space="preserve"> </w:t>
      </w:r>
      <w:r w:rsidRPr="009E0BA6">
        <w:rPr>
          <w:rStyle w:val="normaltextrun"/>
        </w:rPr>
        <w:t>v rozsahu minimálně 8 stran vlastního textu, kromě toho obsahuje i titulní stranu, prohlášení o samostatném zpracování, anotaci, obsah a seznam literatury.</w:t>
      </w:r>
      <w:r w:rsidRPr="009E0BA6">
        <w:rPr>
          <w:rStyle w:val="eop"/>
        </w:rPr>
        <w:t xml:space="preserve"> Maturitní práce by měla být </w:t>
      </w:r>
      <w:r w:rsidR="00BF30E2" w:rsidRPr="009E0BA6">
        <w:rPr>
          <w:rStyle w:val="eop"/>
        </w:rPr>
        <w:t>vypracována</w:t>
      </w:r>
      <w:r w:rsidRPr="009E0BA6">
        <w:rPr>
          <w:rStyle w:val="eop"/>
        </w:rPr>
        <w:t xml:space="preserve"> </w:t>
      </w:r>
      <w:r w:rsidRPr="009E0BA6">
        <w:rPr>
          <w:rStyle w:val="eop"/>
          <w:b/>
        </w:rPr>
        <w:t>na úrovni B1</w:t>
      </w:r>
      <w:r w:rsidR="00BF30E2" w:rsidRPr="009E0BA6">
        <w:rPr>
          <w:rStyle w:val="eop"/>
        </w:rPr>
        <w:t xml:space="preserve"> a </w:t>
      </w:r>
      <w:r w:rsidR="00BF30E2" w:rsidRPr="009E0BA6">
        <w:rPr>
          <w:rStyle w:val="eop"/>
          <w:b/>
        </w:rPr>
        <w:t>odevzdána</w:t>
      </w:r>
      <w:r w:rsidR="00BF30E2" w:rsidRPr="009E0BA6">
        <w:rPr>
          <w:rStyle w:val="eop"/>
        </w:rPr>
        <w:t xml:space="preserve"> v kroužkové vazbě </w:t>
      </w:r>
      <w:r w:rsidR="00BF30E2" w:rsidRPr="009E0BA6">
        <w:rPr>
          <w:rStyle w:val="eop"/>
          <w:b/>
        </w:rPr>
        <w:t xml:space="preserve">ve třech vyhotoveních nejpozději </w:t>
      </w:r>
      <w:proofErr w:type="gramStart"/>
      <w:r w:rsidR="00BF30E2" w:rsidRPr="009E0BA6">
        <w:rPr>
          <w:rStyle w:val="eop"/>
          <w:b/>
        </w:rPr>
        <w:t>13.4.2018</w:t>
      </w:r>
      <w:proofErr w:type="gramEnd"/>
      <w:r w:rsidR="00BF30E2" w:rsidRPr="009E0BA6">
        <w:rPr>
          <w:rStyle w:val="eop"/>
        </w:rPr>
        <w:t>.</w:t>
      </w:r>
    </w:p>
    <w:p w:rsidR="009E0BA6" w:rsidRDefault="009E0BA6">
      <w:pPr>
        <w:rPr>
          <w:rStyle w:val="normaltextrun"/>
          <w:b/>
          <w:bCs/>
          <w:color w:val="000000"/>
          <w:sz w:val="28"/>
          <w:szCs w:val="28"/>
          <w:u w:val="single"/>
        </w:rPr>
      </w:pPr>
    </w:p>
    <w:p w:rsidR="009E0BA6" w:rsidRDefault="009E0BA6">
      <w:pPr>
        <w:rPr>
          <w:rStyle w:val="normaltextrun"/>
          <w:b/>
          <w:bCs/>
          <w:color w:val="000000"/>
          <w:sz w:val="28"/>
          <w:szCs w:val="28"/>
          <w:u w:val="single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br w:type="page"/>
      </w:r>
    </w:p>
    <w:p w:rsidR="007443A3" w:rsidRPr="009E0BA6" w:rsidRDefault="009E0BA6" w:rsidP="009E0BA6">
      <w:pPr>
        <w:pStyle w:val="paragraph"/>
        <w:jc w:val="both"/>
        <w:textAlignment w:val="baseline"/>
        <w:rPr>
          <w:sz w:val="28"/>
          <w:szCs w:val="28"/>
          <w:u w:val="single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lastRenderedPageBreak/>
        <w:t>Hodnocení</w:t>
      </w:r>
      <w:r w:rsidR="007443A3" w:rsidRPr="009E0BA6">
        <w:rPr>
          <w:rStyle w:val="eop"/>
          <w:b/>
          <w:bCs/>
          <w:color w:val="000000"/>
          <w:sz w:val="28"/>
          <w:szCs w:val="28"/>
          <w:u w:val="single"/>
        </w:rPr>
        <w:t> </w:t>
      </w:r>
      <w:r w:rsidRPr="009E0BA6">
        <w:rPr>
          <w:b/>
          <w:bCs/>
          <w:sz w:val="28"/>
          <w:szCs w:val="28"/>
          <w:u w:val="single"/>
        </w:rPr>
        <w:t xml:space="preserve">profilové </w:t>
      </w:r>
      <w:r>
        <w:rPr>
          <w:b/>
          <w:bCs/>
          <w:sz w:val="28"/>
          <w:szCs w:val="28"/>
          <w:u w:val="single"/>
        </w:rPr>
        <w:t xml:space="preserve">části </w:t>
      </w:r>
      <w:r w:rsidRPr="009E0BA6">
        <w:rPr>
          <w:b/>
          <w:bCs/>
          <w:sz w:val="28"/>
          <w:szCs w:val="28"/>
          <w:u w:val="single"/>
        </w:rPr>
        <w:t>MZ v NEJ</w:t>
      </w:r>
    </w:p>
    <w:p w:rsidR="007443A3" w:rsidRDefault="007443A3" w:rsidP="007443A3">
      <w:pPr>
        <w:pStyle w:val="paragraph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Od hodnotitele (vedoucího práce)</w:t>
      </w:r>
      <w:r w:rsidR="00BF30E2">
        <w:rPr>
          <w:rStyle w:val="normaltextrun"/>
          <w:sz w:val="22"/>
          <w:szCs w:val="22"/>
        </w:rPr>
        <w:t xml:space="preserve"> a </w:t>
      </w:r>
      <w:r>
        <w:rPr>
          <w:rStyle w:val="normaltextrun"/>
          <w:sz w:val="22"/>
          <w:szCs w:val="22"/>
        </w:rPr>
        <w:t xml:space="preserve">oponenta </w:t>
      </w:r>
      <w:r w:rsidR="00BF30E2">
        <w:rPr>
          <w:rStyle w:val="normaltextrun"/>
          <w:sz w:val="22"/>
          <w:szCs w:val="22"/>
        </w:rPr>
        <w:t xml:space="preserve">může žák získat po </w:t>
      </w:r>
      <w:r w:rsidR="00BF30E2">
        <w:rPr>
          <w:rStyle w:val="normaltextrun"/>
          <w:sz w:val="22"/>
          <w:szCs w:val="22"/>
        </w:rPr>
        <w:t>25</w:t>
      </w:r>
      <w:r w:rsidR="00BF30E2">
        <w:rPr>
          <w:rStyle w:val="normaltextrun"/>
          <w:sz w:val="22"/>
          <w:szCs w:val="22"/>
        </w:rPr>
        <w:t xml:space="preserve"> bodech</w:t>
      </w:r>
      <w:r w:rsidR="00BF30E2"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sz w:val="22"/>
          <w:szCs w:val="22"/>
        </w:rPr>
        <w:t xml:space="preserve">v rámci </w:t>
      </w:r>
      <w:r w:rsidR="00382148">
        <w:rPr>
          <w:rStyle w:val="normaltextrun"/>
          <w:sz w:val="22"/>
          <w:szCs w:val="22"/>
        </w:rPr>
        <w:t xml:space="preserve">ústní </w:t>
      </w:r>
      <w:r>
        <w:rPr>
          <w:rStyle w:val="normaltextrun"/>
          <w:sz w:val="22"/>
          <w:szCs w:val="22"/>
        </w:rPr>
        <w:t>obhajoby</w:t>
      </w:r>
      <w:r w:rsidR="00BF30E2" w:rsidRPr="00BF30E2">
        <w:rPr>
          <w:rStyle w:val="normaltextrun"/>
          <w:sz w:val="22"/>
          <w:szCs w:val="22"/>
        </w:rPr>
        <w:t xml:space="preserve"> </w:t>
      </w:r>
      <w:r w:rsidR="00BF30E2">
        <w:rPr>
          <w:rStyle w:val="normaltextrun"/>
          <w:sz w:val="22"/>
          <w:szCs w:val="22"/>
        </w:rPr>
        <w:t>lze získat až</w:t>
      </w:r>
      <w:r w:rsidR="00BF30E2">
        <w:rPr>
          <w:rStyle w:val="normaltextrun"/>
          <w:sz w:val="22"/>
          <w:szCs w:val="22"/>
        </w:rPr>
        <w:t xml:space="preserve"> 50 bodů</w:t>
      </w:r>
      <w:r>
        <w:rPr>
          <w:rStyle w:val="normaltextrun"/>
          <w:sz w:val="22"/>
          <w:szCs w:val="22"/>
        </w:rPr>
        <w:t>. To je celkem 1</w:t>
      </w:r>
      <w:r w:rsidR="00BF30E2">
        <w:rPr>
          <w:rStyle w:val="normaltextrun"/>
          <w:sz w:val="22"/>
          <w:szCs w:val="22"/>
        </w:rPr>
        <w:t>0</w:t>
      </w:r>
      <w:r>
        <w:rPr>
          <w:rStyle w:val="normaltextrun"/>
          <w:sz w:val="22"/>
          <w:szCs w:val="22"/>
        </w:rPr>
        <w:t>0 bodů. Dále musí platit, že v žádném ze tří hodnocení nesmí žák získat méně než 10 bodů. Jinak bude celkově hodnocen jako „neprospěl“.</w:t>
      </w:r>
      <w:r>
        <w:rPr>
          <w:rStyle w:val="eop"/>
          <w:sz w:val="22"/>
          <w:szCs w:val="22"/>
        </w:rPr>
        <w:t> </w:t>
      </w:r>
    </w:p>
    <w:p w:rsidR="00382148" w:rsidRPr="00382148" w:rsidRDefault="00382148" w:rsidP="007443A3">
      <w:pPr>
        <w:pStyle w:val="paragraph"/>
        <w:jc w:val="both"/>
        <w:textAlignment w:val="baseline"/>
        <w:rPr>
          <w:sz w:val="16"/>
          <w:szCs w:val="16"/>
        </w:rPr>
      </w:pPr>
      <w:bookmarkStart w:id="0" w:name="_GoBack"/>
    </w:p>
    <w:bookmarkEnd w:id="0"/>
    <w:p w:rsidR="007443A3" w:rsidRDefault="007443A3" w:rsidP="007443A3">
      <w:pPr>
        <w:pStyle w:val="paragraph"/>
        <w:jc w:val="center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Tabulka 1: </w:t>
      </w:r>
      <w:r>
        <w:rPr>
          <w:rStyle w:val="normaltextrun"/>
          <w:color w:val="000000"/>
          <w:sz w:val="18"/>
          <w:szCs w:val="18"/>
        </w:rPr>
        <w:t xml:space="preserve">Stupnice hodnocení </w:t>
      </w:r>
      <w:r w:rsidR="00BF30E2">
        <w:rPr>
          <w:rStyle w:val="normaltextrun"/>
          <w:color w:val="000000"/>
          <w:sz w:val="18"/>
          <w:szCs w:val="18"/>
        </w:rPr>
        <w:t xml:space="preserve">profilové </w:t>
      </w:r>
      <w:r w:rsidR="009E0BA6">
        <w:rPr>
          <w:rStyle w:val="normaltextrun"/>
          <w:color w:val="000000"/>
          <w:sz w:val="18"/>
          <w:szCs w:val="18"/>
        </w:rPr>
        <w:t>MZ</w:t>
      </w:r>
      <w:r w:rsidR="00BF30E2">
        <w:rPr>
          <w:rStyle w:val="normaltextrun"/>
          <w:color w:val="000000"/>
          <w:sz w:val="18"/>
          <w:szCs w:val="18"/>
        </w:rPr>
        <w:t xml:space="preserve"> v NEJ</w:t>
      </w:r>
      <w:r>
        <w:rPr>
          <w:rStyle w:val="eop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9"/>
      </w:tblGrid>
      <w:tr w:rsidR="007443A3" w:rsidTr="007443A3">
        <w:trPr>
          <w:tblCellSpacing w:w="15" w:type="dxa"/>
        </w:trPr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Bodový rozsah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Stupeň hodnocení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7443A3">
        <w:trPr>
          <w:tblCellSpacing w:w="15" w:type="dxa"/>
        </w:trPr>
        <w:tc>
          <w:tcPr>
            <w:tcW w:w="4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3A3" w:rsidRDefault="007443A3" w:rsidP="00BF30E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BF30E2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 xml:space="preserve">0 – </w:t>
            </w:r>
            <w:r w:rsidR="00BF30E2">
              <w:rPr>
                <w:rStyle w:val="normaltextrun"/>
                <w:sz w:val="22"/>
                <w:szCs w:val="22"/>
              </w:rPr>
              <w:t>87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výborný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7443A3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3A3" w:rsidRDefault="00BF30E2" w:rsidP="00BF30E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86</w:t>
            </w:r>
            <w:r w:rsidR="007443A3">
              <w:rPr>
                <w:rStyle w:val="normaltextrun"/>
                <w:sz w:val="22"/>
                <w:szCs w:val="22"/>
              </w:rPr>
              <w:t xml:space="preserve"> – </w:t>
            </w:r>
            <w:r>
              <w:rPr>
                <w:rStyle w:val="normaltextrun"/>
                <w:sz w:val="22"/>
                <w:szCs w:val="22"/>
              </w:rPr>
              <w:t>73</w:t>
            </w:r>
            <w:r w:rsidR="007443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chvalitebný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7443A3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3A3" w:rsidRDefault="00BF30E2" w:rsidP="00BF30E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72</w:t>
            </w:r>
            <w:r w:rsidR="007443A3">
              <w:rPr>
                <w:rStyle w:val="normaltextrun"/>
                <w:sz w:val="22"/>
                <w:szCs w:val="22"/>
              </w:rPr>
              <w:t xml:space="preserve"> – </w:t>
            </w:r>
            <w:r>
              <w:rPr>
                <w:rStyle w:val="normaltextrun"/>
                <w:sz w:val="22"/>
                <w:szCs w:val="22"/>
              </w:rPr>
              <w:t>58</w:t>
            </w:r>
            <w:r w:rsidR="007443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dobrý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7443A3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3A3" w:rsidRDefault="00BF30E2" w:rsidP="00BF30E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57</w:t>
            </w:r>
            <w:r w:rsidR="007443A3">
              <w:rPr>
                <w:rStyle w:val="normaltextrun"/>
                <w:sz w:val="22"/>
                <w:szCs w:val="22"/>
              </w:rPr>
              <w:t xml:space="preserve"> – 4</w:t>
            </w:r>
            <w:r>
              <w:rPr>
                <w:rStyle w:val="normaltextrun"/>
                <w:sz w:val="22"/>
                <w:szCs w:val="22"/>
              </w:rPr>
              <w:t>4</w:t>
            </w:r>
            <w:r w:rsidR="007443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dostatečný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7443A3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3A3" w:rsidRDefault="007443A3" w:rsidP="00BF30E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4</w:t>
            </w:r>
            <w:r w:rsidR="00BF30E2">
              <w:rPr>
                <w:rStyle w:val="normaltextrun"/>
                <w:sz w:val="22"/>
                <w:szCs w:val="22"/>
              </w:rPr>
              <w:t>3</w:t>
            </w:r>
            <w:r>
              <w:rPr>
                <w:rStyle w:val="normaltextrun"/>
                <w:sz w:val="22"/>
                <w:szCs w:val="22"/>
              </w:rPr>
              <w:t xml:space="preserve"> – 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nedostatečný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7443A3" w:rsidRDefault="007443A3" w:rsidP="007443A3">
      <w:pPr>
        <w:pStyle w:val="paragraph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:rsidR="007443A3" w:rsidRDefault="007443A3" w:rsidP="007443A3">
      <w:pPr>
        <w:pStyle w:val="paragraph"/>
        <w:jc w:val="center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Tabulka 2: </w:t>
      </w:r>
      <w:r>
        <w:rPr>
          <w:rStyle w:val="normaltextrun"/>
          <w:color w:val="000000"/>
          <w:sz w:val="18"/>
          <w:szCs w:val="18"/>
        </w:rPr>
        <w:t xml:space="preserve">Hodnotící kritéria písemné části </w:t>
      </w:r>
      <w:r w:rsidR="00BF30E2">
        <w:rPr>
          <w:rStyle w:val="normaltextrun"/>
          <w:color w:val="000000"/>
          <w:sz w:val="18"/>
          <w:szCs w:val="18"/>
        </w:rPr>
        <w:t xml:space="preserve">profilové </w:t>
      </w:r>
      <w:r w:rsidR="00BF30E2">
        <w:rPr>
          <w:rStyle w:val="normaltextrun"/>
          <w:color w:val="000000"/>
          <w:sz w:val="18"/>
          <w:szCs w:val="18"/>
        </w:rPr>
        <w:t>MZ</w:t>
      </w:r>
      <w:r w:rsidR="00BF30E2">
        <w:rPr>
          <w:rStyle w:val="normaltextrun"/>
          <w:color w:val="000000"/>
          <w:sz w:val="18"/>
          <w:szCs w:val="18"/>
        </w:rPr>
        <w:t xml:space="preserve"> v NEJ</w:t>
      </w:r>
      <w:r>
        <w:rPr>
          <w:rStyle w:val="eop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7"/>
        <w:gridCol w:w="1435"/>
        <w:gridCol w:w="1580"/>
      </w:tblGrid>
      <w:tr w:rsidR="007443A3" w:rsidTr="009E0BA6">
        <w:trPr>
          <w:tblCellSpacing w:w="15" w:type="dxa"/>
        </w:trPr>
        <w:tc>
          <w:tcPr>
            <w:tcW w:w="60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Kritérium hodnocení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Maximum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Přidělené body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9E0BA6">
        <w:trPr>
          <w:trHeight w:val="450"/>
          <w:tblCellSpacing w:w="15" w:type="dxa"/>
        </w:trPr>
        <w:tc>
          <w:tcPr>
            <w:tcW w:w="60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Stanovení cíle a míra jeho splnění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9E0BA6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  <w:r w:rsidR="007443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9E0BA6">
        <w:trPr>
          <w:trHeight w:val="450"/>
          <w:tblCellSpacing w:w="15" w:type="dxa"/>
        </w:trPr>
        <w:tc>
          <w:tcPr>
            <w:tcW w:w="6012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Logická struktura práce, stylistická úroveň a formální úprava práce, přílohy, anotace atd.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9E0BA6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9E0BA6">
        <w:trPr>
          <w:trHeight w:val="450"/>
          <w:tblCellSpacing w:w="15" w:type="dxa"/>
        </w:trPr>
        <w:tc>
          <w:tcPr>
            <w:tcW w:w="6012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9E0BA6" w:rsidP="007443A3">
            <w:pPr>
              <w:pStyle w:val="paragraph"/>
              <w:textAlignment w:val="baseline"/>
            </w:pPr>
            <w:r>
              <w:rPr>
                <w:rStyle w:val="normaltextrun"/>
              </w:rPr>
              <w:t>Jazyková a stylistická úroveň práce</w:t>
            </w:r>
            <w:r w:rsidR="007443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9E0BA6">
        <w:trPr>
          <w:trHeight w:val="450"/>
          <w:tblCellSpacing w:w="15" w:type="dxa"/>
        </w:trPr>
        <w:tc>
          <w:tcPr>
            <w:tcW w:w="6012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9E0BA6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Náročnost tématu, vlastní invence žáka, pravidelné konzultace s  vedoucím práce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9E0BA6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  <w:r w:rsidR="007443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382148" w:rsidRDefault="007443A3" w:rsidP="00382148">
      <w:pPr>
        <w:pStyle w:val="paragraph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382148" w:rsidRDefault="00382148" w:rsidP="00382148">
      <w:pPr>
        <w:pStyle w:val="paragraph"/>
        <w:jc w:val="both"/>
        <w:textAlignment w:val="baseline"/>
      </w:pPr>
      <w:r w:rsidRPr="00382148">
        <w:rPr>
          <w:b/>
        </w:rPr>
        <w:t>Ústní o</w:t>
      </w:r>
      <w:r w:rsidRPr="00382148">
        <w:rPr>
          <w:b/>
        </w:rPr>
        <w:t>bhajoba maturitní práce</w:t>
      </w:r>
      <w:r>
        <w:t xml:space="preserve"> </w:t>
      </w:r>
      <w:r>
        <w:t xml:space="preserve">probíhá v německém jazyce </w:t>
      </w:r>
      <w:r w:rsidRPr="00F15FE2">
        <w:t>př</w:t>
      </w:r>
      <w:r>
        <w:t>ed maturitní komisí s pomocí PPT</w:t>
      </w:r>
      <w:r>
        <w:t>-</w:t>
      </w:r>
      <w:r w:rsidRPr="00F15FE2">
        <w:t>prezentace</w:t>
      </w:r>
      <w:r>
        <w:t xml:space="preserve"> – ca. 10 minut</w:t>
      </w:r>
      <w:r>
        <w:t>, následuje o</w:t>
      </w:r>
      <w:r w:rsidRPr="00F15FE2">
        <w:t>becný rozhovor k tématu maturitní práce</w:t>
      </w:r>
      <w:r>
        <w:t xml:space="preserve"> a zodpovězení položených dotazů</w:t>
      </w:r>
      <w:r w:rsidRPr="00F15FE2">
        <w:t xml:space="preserve"> – </w:t>
      </w:r>
      <w:r>
        <w:t xml:space="preserve">ca. </w:t>
      </w:r>
      <w:r w:rsidRPr="00F15FE2">
        <w:t>5 minut.</w:t>
      </w:r>
      <w:r>
        <w:t xml:space="preserve"> Je očekáván samostatný ústní projev, který je připravený bez pomocných materiálů a bez čtení z poznámek.</w:t>
      </w:r>
    </w:p>
    <w:p w:rsidR="00382148" w:rsidRPr="00382148" w:rsidRDefault="00382148" w:rsidP="00382148">
      <w:pPr>
        <w:pStyle w:val="paragraph"/>
        <w:jc w:val="both"/>
        <w:textAlignment w:val="baseline"/>
        <w:rPr>
          <w:sz w:val="16"/>
          <w:szCs w:val="16"/>
        </w:rPr>
      </w:pPr>
    </w:p>
    <w:p w:rsidR="007443A3" w:rsidRDefault="007443A3" w:rsidP="007443A3">
      <w:pPr>
        <w:pStyle w:val="paragraph"/>
        <w:jc w:val="center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Tabulka 3: </w:t>
      </w:r>
      <w:r>
        <w:rPr>
          <w:rStyle w:val="normaltextrun"/>
          <w:color w:val="000000"/>
          <w:sz w:val="18"/>
          <w:szCs w:val="18"/>
        </w:rPr>
        <w:t xml:space="preserve">Hodnotící kritéria ústních obhajob </w:t>
      </w:r>
      <w:r w:rsidR="009E0BA6">
        <w:rPr>
          <w:rStyle w:val="normaltextrun"/>
          <w:color w:val="000000"/>
          <w:sz w:val="18"/>
          <w:szCs w:val="18"/>
        </w:rPr>
        <w:t>profilové MZ v NEJ</w:t>
      </w:r>
      <w:r w:rsidR="009E0BA6">
        <w:rPr>
          <w:rStyle w:val="eop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7"/>
        <w:gridCol w:w="1435"/>
        <w:gridCol w:w="1580"/>
      </w:tblGrid>
      <w:tr w:rsidR="007443A3" w:rsidTr="007443A3">
        <w:trPr>
          <w:tblCellSpacing w:w="15" w:type="dxa"/>
        </w:trPr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Kritérium hodnocení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Maximum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Přidělené body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7443A3">
        <w:trPr>
          <w:trHeight w:val="450"/>
          <w:tblCellSpacing w:w="15" w:type="dxa"/>
        </w:trPr>
        <w:tc>
          <w:tcPr>
            <w:tcW w:w="6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Formální a obsahové náležitosti audiovizuální prezentace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7443A3">
        <w:trPr>
          <w:trHeight w:val="450"/>
          <w:tblCellSpacing w:w="15" w:type="dxa"/>
        </w:trPr>
        <w:tc>
          <w:tcPr>
            <w:tcW w:w="609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Ústní obhajoba, vyjadřovací prostředky při obhajobě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9E0BA6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2</w:t>
            </w:r>
            <w:r w:rsidR="009E0BA6">
              <w:rPr>
                <w:rStyle w:val="normaltextrun"/>
                <w:sz w:val="22"/>
                <w:szCs w:val="22"/>
              </w:rPr>
              <w:t>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443A3" w:rsidTr="007443A3">
        <w:trPr>
          <w:trHeight w:val="450"/>
          <w:tblCellSpacing w:w="15" w:type="dxa"/>
        </w:trPr>
        <w:tc>
          <w:tcPr>
            <w:tcW w:w="609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Schopnost adekvátně odpovídat a reagovat na položené dotazy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9E0BA6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9E0BA6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A3" w:rsidRDefault="007443A3" w:rsidP="007443A3">
            <w:pPr>
              <w:pStyle w:val="paragraph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382148" w:rsidRPr="004400A1" w:rsidRDefault="00382148" w:rsidP="00382148">
      <w:pPr>
        <w:spacing w:line="360" w:lineRule="auto"/>
        <w:jc w:val="both"/>
        <w:rPr>
          <w:sz w:val="28"/>
          <w:szCs w:val="28"/>
        </w:rPr>
      </w:pPr>
    </w:p>
    <w:sectPr w:rsidR="00382148" w:rsidRPr="004400A1" w:rsidSect="005B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D7"/>
    <w:multiLevelType w:val="hybridMultilevel"/>
    <w:tmpl w:val="7D882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5199"/>
    <w:multiLevelType w:val="multilevel"/>
    <w:tmpl w:val="54828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24AAC"/>
    <w:multiLevelType w:val="multilevel"/>
    <w:tmpl w:val="DDA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75739"/>
    <w:multiLevelType w:val="multilevel"/>
    <w:tmpl w:val="F0D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419B9"/>
    <w:multiLevelType w:val="multilevel"/>
    <w:tmpl w:val="F2402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05E4E"/>
    <w:multiLevelType w:val="multilevel"/>
    <w:tmpl w:val="41BA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743FE"/>
    <w:multiLevelType w:val="multilevel"/>
    <w:tmpl w:val="5D609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909FA"/>
    <w:multiLevelType w:val="multilevel"/>
    <w:tmpl w:val="FBC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17C5C"/>
    <w:multiLevelType w:val="multilevel"/>
    <w:tmpl w:val="688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3332F"/>
    <w:multiLevelType w:val="multilevel"/>
    <w:tmpl w:val="B1602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E6C13"/>
    <w:multiLevelType w:val="multilevel"/>
    <w:tmpl w:val="BBA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90103"/>
    <w:multiLevelType w:val="multilevel"/>
    <w:tmpl w:val="D7CE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9753E"/>
    <w:multiLevelType w:val="multilevel"/>
    <w:tmpl w:val="2AD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3658C"/>
    <w:multiLevelType w:val="multilevel"/>
    <w:tmpl w:val="E7AA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F1D6E"/>
    <w:multiLevelType w:val="multilevel"/>
    <w:tmpl w:val="88F81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E5A7E"/>
    <w:multiLevelType w:val="multilevel"/>
    <w:tmpl w:val="CAB2B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779B4"/>
    <w:multiLevelType w:val="hybridMultilevel"/>
    <w:tmpl w:val="BA1C7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37BC2"/>
    <w:multiLevelType w:val="multilevel"/>
    <w:tmpl w:val="08C26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126E2"/>
    <w:multiLevelType w:val="multilevel"/>
    <w:tmpl w:val="E958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18"/>
  </w:num>
  <w:num w:numId="15">
    <w:abstractNumId w:val="4"/>
  </w:num>
  <w:num w:numId="16">
    <w:abstractNumId w:val="17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BB"/>
    <w:rsid w:val="00090FD3"/>
    <w:rsid w:val="000D3926"/>
    <w:rsid w:val="00175003"/>
    <w:rsid w:val="00223FCE"/>
    <w:rsid w:val="00382148"/>
    <w:rsid w:val="003945BB"/>
    <w:rsid w:val="004400A1"/>
    <w:rsid w:val="0048639A"/>
    <w:rsid w:val="005B268A"/>
    <w:rsid w:val="00727FD0"/>
    <w:rsid w:val="007443A3"/>
    <w:rsid w:val="00745B56"/>
    <w:rsid w:val="007C6EC2"/>
    <w:rsid w:val="007F7CCB"/>
    <w:rsid w:val="009734CA"/>
    <w:rsid w:val="009C601E"/>
    <w:rsid w:val="009E0BA6"/>
    <w:rsid w:val="009E4FD2"/>
    <w:rsid w:val="00A6528E"/>
    <w:rsid w:val="00AF743E"/>
    <w:rsid w:val="00B60E2C"/>
    <w:rsid w:val="00BD34B5"/>
    <w:rsid w:val="00BF30E2"/>
    <w:rsid w:val="00CA0929"/>
    <w:rsid w:val="00E52084"/>
    <w:rsid w:val="00FE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EC366-6EB0-45EF-96D4-1B9E3DAB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6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F7CCB"/>
    <w:pPr>
      <w:jc w:val="center"/>
    </w:pPr>
    <w:rPr>
      <w:b/>
      <w:bCs/>
      <w:sz w:val="28"/>
      <w:lang w:val="de-AT"/>
    </w:rPr>
  </w:style>
  <w:style w:type="character" w:customStyle="1" w:styleId="NzevChar">
    <w:name w:val="Název Char"/>
    <w:basedOn w:val="Standardnpsmoodstavce"/>
    <w:link w:val="Nzev"/>
    <w:rsid w:val="007F7CCB"/>
    <w:rPr>
      <w:b/>
      <w:bCs/>
      <w:sz w:val="28"/>
      <w:szCs w:val="24"/>
      <w:lang w:val="de-AT"/>
    </w:rPr>
  </w:style>
  <w:style w:type="paragraph" w:customStyle="1" w:styleId="Default">
    <w:name w:val="Default"/>
    <w:rsid w:val="00BD34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BD34B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BD34B5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D34B5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ln"/>
    <w:rsid w:val="007443A3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443A3"/>
  </w:style>
  <w:style w:type="character" w:customStyle="1" w:styleId="eop">
    <w:name w:val="eop"/>
    <w:basedOn w:val="Standardnpsmoodstavce"/>
    <w:rsid w:val="007443A3"/>
  </w:style>
  <w:style w:type="character" w:customStyle="1" w:styleId="scxw72649899">
    <w:name w:val="scxw72649899"/>
    <w:basedOn w:val="Standardnpsmoodstavce"/>
    <w:rsid w:val="007443A3"/>
  </w:style>
  <w:style w:type="character" w:customStyle="1" w:styleId="spellingerror">
    <w:name w:val="spellingerror"/>
    <w:basedOn w:val="Standardnpsmoodstavce"/>
    <w:rsid w:val="007443A3"/>
  </w:style>
  <w:style w:type="character" w:customStyle="1" w:styleId="contextualspellingandgrammarerror">
    <w:name w:val="contextualspellingandgrammarerror"/>
    <w:basedOn w:val="Standardnpsmoodstavce"/>
    <w:rsid w:val="0074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ot&#225;z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otázky</Template>
  <TotalTime>0</TotalTime>
  <Pages>3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"Klepněte sem a napište název předmětu"</vt:lpstr>
    </vt:vector>
  </TitlesOfParts>
  <Company>Střední průmyslová škola chemická, Brno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"Klepněte sem a napište název předmětu"</dc:title>
  <dc:creator>oem</dc:creator>
  <cp:lastModifiedBy>Milenka KUBAT</cp:lastModifiedBy>
  <cp:revision>2</cp:revision>
  <cp:lastPrinted>2017-09-26T14:33:00Z</cp:lastPrinted>
  <dcterms:created xsi:type="dcterms:W3CDTF">2017-10-18T15:30:00Z</dcterms:created>
  <dcterms:modified xsi:type="dcterms:W3CDTF">2017-10-18T15:30:00Z</dcterms:modified>
</cp:coreProperties>
</file>